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7B" w:rsidRPr="00B30094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МЕТОДИКА ЗА ОЦЕНКА НА ФИНАНСОВИЯ КАПАЦИТЕТ НА </w:t>
      </w:r>
    </w:p>
    <w:p w:rsidR="0090257B" w:rsidRPr="00B30094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F91D12" w:rsidRPr="00B30094">
        <w:rPr>
          <w:rFonts w:ascii="Times New Roman" w:hAnsi="Times New Roman" w:cs="Times New Roman"/>
          <w:b/>
          <w:sz w:val="24"/>
          <w:szCs w:val="24"/>
        </w:rPr>
        <w:t>/</w:t>
      </w:r>
      <w:r w:rsidR="00F91D12" w:rsidRPr="00B30094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ПАРТНЬОРИТЕ </w:t>
      </w: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 ОПЕРАТИВНА ПРОГРАМА </w:t>
      </w:r>
    </w:p>
    <w:p w:rsidR="00B938A0" w:rsidRPr="00B30094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„РАЗВИТИЕ НА ЧОВЕШКИТЕ РЕСУРСИ“ 2014 – 2020 Г.</w:t>
      </w: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F91D12" w:rsidRPr="00B30094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кандидатите по Оперативна Програма „Развитие на Човешките Ресурси“ 2014 – 2020 г. е разработена в изпълнение на член 125, ал. 3, т.(г) от Регламент 1303/2013, член 196, ал. 1 от Регламент 1268/2012 и член 202, ал. 2 и ал. 3 от Регламент 1268/2012.</w:t>
      </w: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016062" w:rsidRPr="00B30094" w:rsidRDefault="00016062" w:rsidP="00B30094">
      <w:pPr>
        <w:pStyle w:val="ListParagraph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Когато кандидатите/партньорите са различни от общини и не са новосъздадени организации се извършва служебна проверка в Националния статистически институт (НСИ) на данните от счетоводния баланс на организацията за последната финансова година (текуща печалба/загуба, стойност на собствения капитал и стойност на актива). В случай че кандидатът/партньорите не са представили в НСИ финансови отчети за предходната финансова година, следва да приложат счетоводният баланс</w:t>
      </w:r>
      <w:r w:rsidR="00074A0E">
        <w:rPr>
          <w:rFonts w:ascii="Times New Roman" w:hAnsi="Times New Roman" w:cs="Times New Roman"/>
          <w:sz w:val="24"/>
          <w:szCs w:val="24"/>
          <w:lang w:val="bg-BG"/>
        </w:rPr>
        <w:t xml:space="preserve"> за 2019 г.</w:t>
      </w: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 в секция 12 на ИСУН 2020 на етап подаване на проектно предложение.</w:t>
      </w:r>
    </w:p>
    <w:p w:rsidR="00016062" w:rsidRDefault="007A61EC" w:rsidP="00B30094">
      <w:pPr>
        <w:pStyle w:val="ListParagraph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7A61EC" w:rsidRPr="00B30094" w:rsidRDefault="007A61EC" w:rsidP="00B30094">
      <w:pPr>
        <w:pStyle w:val="ListParagraph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16062" w:rsidRPr="00B30094" w:rsidRDefault="00016062" w:rsidP="00B30094">
      <w:pPr>
        <w:pStyle w:val="ListParagraph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Когато кандидатът/партньорът е новорегистрирана/новосъздадена през текущата година организация, следва да приложи в секция 12 на ИСУН 2020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:rsidR="00016062" w:rsidRPr="00B30094" w:rsidRDefault="00016062" w:rsidP="00B30094">
      <w:pPr>
        <w:pStyle w:val="ListParagraph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16062" w:rsidRPr="00B30094" w:rsidRDefault="00016062" w:rsidP="00B30094">
      <w:pPr>
        <w:pStyle w:val="ListParagraph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Финансовият капацитет се изчислява на база Методика за оценка на финансовия капацитет на кандидатите/партньорите по Оперативна програма „Развитие на човешките ресурси“ 2014 – 2020 г. (Приложение за информация към Условията за кандидатстване.</w:t>
      </w:r>
    </w:p>
    <w:p w:rsidR="00016062" w:rsidRPr="00B30094" w:rsidRDefault="00016062" w:rsidP="00B30094">
      <w:pPr>
        <w:pStyle w:val="ListParagraph"/>
        <w:spacing w:before="120" w:after="120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16062" w:rsidRPr="00B30094" w:rsidRDefault="00016062" w:rsidP="00B30094">
      <w:pPr>
        <w:pStyle w:val="ListParagraph"/>
        <w:spacing w:before="120" w:after="120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Когато </w:t>
      </w: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кандидатът е община</w:t>
      </w: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 - това обстоятелство се проверява служебно от оценителната комисия в Закона за държавния бюджет. Счита се, че организацията разполага с необходимия финансов капацитет, ако утвърдените разходи по бюджета на първостепенния разпоредител за текущата година са по-високи от 20% от размера на исканата БФП.</w:t>
      </w:r>
    </w:p>
    <w:p w:rsidR="00016062" w:rsidRPr="00B30094" w:rsidRDefault="00016062" w:rsidP="00B30094">
      <w:pPr>
        <w:pStyle w:val="ListParagraph"/>
        <w:spacing w:before="120" w:after="120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16062" w:rsidRPr="00B30094" w:rsidRDefault="00016062" w:rsidP="00B30094">
      <w:pPr>
        <w:pStyle w:val="ListParagraph"/>
        <w:spacing w:before="120" w:after="120"/>
        <w:ind w:left="142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Когато </w:t>
      </w: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партньорът е община</w:t>
      </w: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 - това обстоятелство се проверява служебно от оценителната комисия в Закона за държавния бюджет. Счита се, че организацията разполага с необходимия финансов капацитет, ако утвърдените разходи по бюджета на първостепенния разпоредител за текущата година са по-високи от размера на средствата (БФП), които ще разходва партньорът по проекта.</w:t>
      </w:r>
    </w:p>
    <w:p w:rsidR="00F91D12" w:rsidRPr="00B30094" w:rsidRDefault="00F91D12" w:rsidP="00F91D1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F91D12" w:rsidRPr="00B30094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В случай че оценителната комисия установи, че са налице индикации за затруднено финансово положение на кандидата, комисията ще отхвърли проектното предложение на етап „Административно съответствие и допустимост“.</w:t>
      </w: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методиката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Оценката се основава на няколко коефициента: </w:t>
      </w:r>
    </w:p>
    <w:p w:rsidR="00F91D12" w:rsidRPr="00B30094" w:rsidRDefault="00F91D12" w:rsidP="00F91D12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:rsidR="00F91D12" w:rsidRPr="00B30094" w:rsidRDefault="00F91D12" w:rsidP="00F91D12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 xml:space="preserve">коефициент за рентабилност. </w:t>
      </w:r>
    </w:p>
    <w:p w:rsidR="00F91D12" w:rsidRPr="00B30094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Методиката отчита специфичните характеристики на кандидатите и може да бъде използвана за организации с различни юридически форми от търговски дружества до организации с нестопанска цел.</w:t>
      </w:r>
    </w:p>
    <w:p w:rsidR="00F91D12" w:rsidRPr="00B30094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:rsidR="00F91D12" w:rsidRPr="00B30094" w:rsidRDefault="00F91D12" w:rsidP="00F91D12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:rsidR="00F91D12" w:rsidRPr="00B30094" w:rsidRDefault="00F91D12" w:rsidP="00F91D12">
      <w:pPr>
        <w:numPr>
          <w:ilvl w:val="0"/>
          <w:numId w:val="11"/>
        </w:numPr>
        <w:spacing w:after="0"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 на финансовата стабилност</w:t>
      </w:r>
    </w:p>
    <w:p w:rsidR="00F91D12" w:rsidRPr="00B30094" w:rsidRDefault="00F91D12" w:rsidP="00F91D1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:rsidR="00F91D12" w:rsidRPr="00B30094" w:rsidRDefault="00F91D12" w:rsidP="00F91D12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4"/>
              <w:szCs w:val="24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24"/>
              <w:szCs w:val="24"/>
              <w:lang w:val="bg-BG"/>
            </w:rPr>
            <m:t>Финансова независимост=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bg-BG"/>
                </w:rPr>
                <m:t>Собствен капитал (код</m:t>
              </m:r>
              <m:r>
                <w:rPr>
                  <w:rFonts w:ascii="Cambria Math" w:eastAsia="Times New Roman" w:hAnsi="Cambria Math" w:cs="Times New Roman"/>
                  <w:i/>
                  <w:sz w:val="24"/>
                  <w:szCs w:val="24"/>
                  <w:vertAlign w:val="superscript"/>
                  <w:lang w:val="bg-BG"/>
                </w:rPr>
                <w:footnoteReference w:id="1"/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bg-BG"/>
                </w:rPr>
                <m:t>Сума на актива (код 04500)</m:t>
              </m:r>
              <m:r>
                <w:rPr>
                  <w:rFonts w:ascii="Cambria Math" w:eastAsia="Times New Roman" w:hAnsi="Cambria Math" w:cs="Times New Roman"/>
                  <w:i/>
                  <w:sz w:val="24"/>
                  <w:szCs w:val="24"/>
                  <w:vertAlign w:val="superscript"/>
                  <w:lang w:val="bg-BG"/>
                </w:rPr>
                <w:footnoteReference w:id="2"/>
              </m:r>
            </m:den>
          </m:f>
        </m:oMath>
      </m:oMathPara>
    </w:p>
    <w:p w:rsidR="00F91D12" w:rsidRPr="00B30094" w:rsidRDefault="00F91D12" w:rsidP="00F91D1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91D12" w:rsidRPr="00B30094" w:rsidRDefault="00F91D12" w:rsidP="00F91D1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eastAsiaTheme="minorEastAsia" w:hAnsi="Times New Roman" w:cs="Times New Roman"/>
          <w:sz w:val="24"/>
          <w:szCs w:val="24"/>
        </w:rPr>
        <w:t>II</w:t>
      </w:r>
      <w:r w:rsidRPr="00B30094">
        <w:rPr>
          <w:rFonts w:ascii="Times New Roman" w:eastAsiaTheme="minorEastAsia" w:hAnsi="Times New Roman" w:cs="Times New Roman"/>
          <w:sz w:val="24"/>
          <w:szCs w:val="24"/>
          <w:lang w:val="bg-BG"/>
        </w:rPr>
        <w:t xml:space="preserve">. 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bg-BG"/>
              </w:rPr>
              <m:t>Сума на актива (код 04500)</m:t>
            </m:r>
          </m:den>
        </m:f>
      </m:oMath>
    </w:p>
    <w:p w:rsidR="00F91D12" w:rsidRPr="00B30094" w:rsidRDefault="00F91D12" w:rsidP="00F91D1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организациите зависят от финансиране от трета страна. Колкото е по-близо съотношението до 1, толкова по-финансово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коефициентът на финансова независимост, толкова по-трудно ще бъде да получат кредити и външно финансиране.</w:t>
      </w:r>
    </w:p>
    <w:p w:rsidR="00F91D12" w:rsidRPr="00B30094" w:rsidRDefault="00F91D12" w:rsidP="00F91D12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Коефициентът на рентабилност измерва ефективността с която организациите използват своите активи.</w:t>
      </w:r>
    </w:p>
    <w:p w:rsidR="00F91D12" w:rsidRPr="00B30094" w:rsidRDefault="00F91D12" w:rsidP="00F91D12">
      <w:pPr>
        <w:numPr>
          <w:ilvl w:val="0"/>
          <w:numId w:val="11"/>
        </w:numPr>
        <w:spacing w:after="12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Оценка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 или добро) на финансовата стабилност на кандидатите се 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F91D12" w:rsidRPr="00B30094" w:rsidTr="00A348DF">
        <w:tc>
          <w:tcPr>
            <w:tcW w:w="3544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19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F91D12" w:rsidRPr="00B30094" w:rsidTr="00A348DF">
        <w:tc>
          <w:tcPr>
            <w:tcW w:w="3544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≥ 0,5</w:t>
            </w:r>
          </w:p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0,4 ≤ ФН &lt; 0,5</w:t>
            </w:r>
          </w:p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0,3 ≤ ФН &lt; 0,4</w:t>
            </w:r>
          </w:p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 ≤ ФН &lt; 0,3</w:t>
            </w:r>
          </w:p>
          <w:p w:rsidR="00F91D12" w:rsidRPr="00B30094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F91D12" w:rsidRPr="00B30094" w:rsidTr="00A348DF">
        <w:trPr>
          <w:cantSplit/>
        </w:trPr>
        <w:tc>
          <w:tcPr>
            <w:tcW w:w="3544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≥ 2%</w:t>
            </w:r>
          </w:p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2%</w:t>
            </w:r>
          </w:p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0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F91D12" w:rsidRPr="00B30094" w:rsidRDefault="00F91D12" w:rsidP="00F91D1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:rsidR="00F91D12" w:rsidRPr="00B30094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F91D12" w:rsidRPr="00B30094" w:rsidTr="00A348DF">
        <w:tc>
          <w:tcPr>
            <w:tcW w:w="3402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F91D12" w:rsidRPr="00B30094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F91D12" w:rsidRPr="00B30094" w:rsidTr="00A348DF">
        <w:tc>
          <w:tcPr>
            <w:tcW w:w="3402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F91D12" w:rsidRPr="00B30094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B30094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F91D12" w:rsidRPr="00B30094" w:rsidRDefault="00F91D12" w:rsidP="00F91D12">
      <w:pPr>
        <w:numPr>
          <w:ilvl w:val="0"/>
          <w:numId w:val="11"/>
        </w:numPr>
        <w:spacing w:before="480" w:after="24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Тълкуване на резултатите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На основата на общата оценка кандидатите попадат в две основни категории: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1. Добра финансова стабилност</w:t>
      </w:r>
    </w:p>
    <w:p w:rsidR="00F91D12" w:rsidRPr="00B30094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lastRenderedPageBreak/>
        <w:t>Кандидатът демонстрира стабилен финансов профил. Изпълнени са условията за отпускане на безвъзмездна финансова помощ при нисък риск за средствата предоставяни от ЕС.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b/>
          <w:sz w:val="24"/>
          <w:szCs w:val="24"/>
          <w:lang w:val="bg-BG"/>
        </w:rPr>
        <w:t>2. Лоша финансова стабилност</w:t>
      </w:r>
    </w:p>
    <w:p w:rsidR="00F91D12" w:rsidRPr="00B30094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30094">
        <w:rPr>
          <w:rFonts w:ascii="Times New Roman" w:hAnsi="Times New Roman" w:cs="Times New Roman"/>
          <w:sz w:val="24"/>
          <w:szCs w:val="24"/>
          <w:lang w:val="bg-BG"/>
        </w:rPr>
        <w:t>Оценителната комисия отхвърля проектното предложение на кандидата на етап „Административно съответствие и допустимост“.</w:t>
      </w:r>
    </w:p>
    <w:p w:rsidR="00C4321A" w:rsidRPr="00B30094" w:rsidRDefault="00C4321A" w:rsidP="00F91D12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C4321A" w:rsidRPr="00B30094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240" w:rsidRDefault="00BD3240" w:rsidP="00B938A0">
      <w:pPr>
        <w:spacing w:after="0" w:line="240" w:lineRule="auto"/>
      </w:pPr>
      <w:r>
        <w:separator/>
      </w:r>
    </w:p>
  </w:endnote>
  <w:endnote w:type="continuationSeparator" w:id="0">
    <w:p w:rsidR="00BD3240" w:rsidRDefault="00BD3240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240" w:rsidRDefault="00BD3240" w:rsidP="00B938A0">
      <w:pPr>
        <w:spacing w:after="0" w:line="240" w:lineRule="auto"/>
      </w:pPr>
      <w:r>
        <w:separator/>
      </w:r>
    </w:p>
  </w:footnote>
  <w:footnote w:type="continuationSeparator" w:id="0">
    <w:p w:rsidR="00BD3240" w:rsidRDefault="00BD3240" w:rsidP="00B938A0">
      <w:pPr>
        <w:spacing w:after="0" w:line="240" w:lineRule="auto"/>
      </w:pPr>
      <w:r>
        <w:continuationSeparator/>
      </w:r>
    </w:p>
  </w:footnote>
  <w:footnote w:id="1">
    <w:p w:rsidR="00F91D12" w:rsidRPr="007632C1" w:rsidRDefault="00F91D12" w:rsidP="00F91D12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 w:rsidRPr="007632C1">
        <w:rPr>
          <w:lang w:val="bg-BG"/>
        </w:rPr>
        <w:t xml:space="preserve"> </w:t>
      </w:r>
      <w:r w:rsidRPr="00DB4FBF">
        <w:rPr>
          <w:rFonts w:ascii="Times New Roman" w:hAnsi="Times New Roman" w:cs="Times New Roman"/>
          <w:lang w:val="bg-BG"/>
        </w:rPr>
        <w:t>Кодовете са данни от счетоводния баланс</w:t>
      </w:r>
    </w:p>
  </w:footnote>
  <w:footnote w:id="2">
    <w:p w:rsidR="00F91D12" w:rsidRPr="00DB4FBF" w:rsidRDefault="00F91D12" w:rsidP="00F91D12">
      <w:pPr>
        <w:pStyle w:val="FootnoteText"/>
        <w:rPr>
          <w:rFonts w:ascii="Times New Roman" w:hAnsi="Times New Roman" w:cs="Times New Roman"/>
          <w:lang w:val="bg-BG"/>
        </w:rPr>
      </w:pPr>
      <w:r w:rsidRPr="007632C1">
        <w:rPr>
          <w:rStyle w:val="FootnoteReference"/>
          <w:rFonts w:ascii="Times New Roman" w:hAnsi="Times New Roman" w:cs="Times New Roman"/>
        </w:rPr>
        <w:footnoteRef/>
      </w:r>
      <w:r w:rsidRPr="007632C1">
        <w:rPr>
          <w:rFonts w:ascii="Times New Roman" w:hAnsi="Times New Roman" w:cs="Times New Roman"/>
          <w:lang w:val="bg-BG"/>
        </w:rPr>
        <w:t xml:space="preserve"> </w:t>
      </w:r>
      <w:r w:rsidRPr="00DB4FBF">
        <w:rPr>
          <w:rFonts w:ascii="Times New Roman" w:hAnsi="Times New Roman" w:cs="Times New Roman"/>
          <w:lang w:val="bg-BG"/>
        </w:rPr>
        <w:t xml:space="preserve">В случаите, когато </w:t>
      </w:r>
      <w:r w:rsidRPr="007632C1">
        <w:rPr>
          <w:rFonts w:ascii="Times New Roman" w:hAnsi="Times New Roman" w:cs="Times New Roman"/>
          <w:lang w:val="bg-BG"/>
        </w:rPr>
        <w:t>“</w:t>
      </w:r>
      <w:r w:rsidRPr="00DB4FBF">
        <w:rPr>
          <w:rFonts w:ascii="Times New Roman" w:hAnsi="Times New Roman" w:cs="Times New Roman"/>
          <w:lang w:val="bg-BG"/>
        </w:rPr>
        <w:t xml:space="preserve">Сума на Актива“ и „Сумата на Пасива“ е равна на „0“ е 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 </w:t>
      </w:r>
    </w:p>
    <w:p w:rsidR="00F91D12" w:rsidRPr="007632C1" w:rsidRDefault="00F91D12" w:rsidP="00F91D12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16062"/>
    <w:rsid w:val="000229E1"/>
    <w:rsid w:val="00025870"/>
    <w:rsid w:val="000330D5"/>
    <w:rsid w:val="0003560B"/>
    <w:rsid w:val="00067A31"/>
    <w:rsid w:val="00074A0E"/>
    <w:rsid w:val="000C4B81"/>
    <w:rsid w:val="000E2919"/>
    <w:rsid w:val="00102707"/>
    <w:rsid w:val="00106B39"/>
    <w:rsid w:val="00162BE1"/>
    <w:rsid w:val="00180B28"/>
    <w:rsid w:val="001B39F2"/>
    <w:rsid w:val="001D41F5"/>
    <w:rsid w:val="0020207C"/>
    <w:rsid w:val="002058F8"/>
    <w:rsid w:val="0021304A"/>
    <w:rsid w:val="00225277"/>
    <w:rsid w:val="00265F3F"/>
    <w:rsid w:val="00273EEF"/>
    <w:rsid w:val="00275BB5"/>
    <w:rsid w:val="002A2527"/>
    <w:rsid w:val="002E05D6"/>
    <w:rsid w:val="002E5988"/>
    <w:rsid w:val="00304175"/>
    <w:rsid w:val="00305095"/>
    <w:rsid w:val="00305CE0"/>
    <w:rsid w:val="003200C9"/>
    <w:rsid w:val="00330143"/>
    <w:rsid w:val="003A4DF2"/>
    <w:rsid w:val="003E50D7"/>
    <w:rsid w:val="003E5162"/>
    <w:rsid w:val="003F4DBC"/>
    <w:rsid w:val="00417DCE"/>
    <w:rsid w:val="004313F7"/>
    <w:rsid w:val="0045595E"/>
    <w:rsid w:val="00471FC2"/>
    <w:rsid w:val="00492ACD"/>
    <w:rsid w:val="00497A27"/>
    <w:rsid w:val="004E0E1E"/>
    <w:rsid w:val="004F2B1C"/>
    <w:rsid w:val="00540FE6"/>
    <w:rsid w:val="00550B6F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007DA"/>
    <w:rsid w:val="006369D2"/>
    <w:rsid w:val="0066504F"/>
    <w:rsid w:val="00683044"/>
    <w:rsid w:val="006939C0"/>
    <w:rsid w:val="006A4C42"/>
    <w:rsid w:val="006A5DDC"/>
    <w:rsid w:val="006B0041"/>
    <w:rsid w:val="00720EC0"/>
    <w:rsid w:val="00722AEE"/>
    <w:rsid w:val="007352C8"/>
    <w:rsid w:val="00754AE5"/>
    <w:rsid w:val="0077255F"/>
    <w:rsid w:val="00786495"/>
    <w:rsid w:val="007A61EC"/>
    <w:rsid w:val="007A6DAD"/>
    <w:rsid w:val="007C36FB"/>
    <w:rsid w:val="007D4C04"/>
    <w:rsid w:val="007E39A3"/>
    <w:rsid w:val="007E79C0"/>
    <w:rsid w:val="00811432"/>
    <w:rsid w:val="00826A81"/>
    <w:rsid w:val="00852E58"/>
    <w:rsid w:val="00853BE3"/>
    <w:rsid w:val="008909E8"/>
    <w:rsid w:val="008951F9"/>
    <w:rsid w:val="008C4A97"/>
    <w:rsid w:val="008C56E2"/>
    <w:rsid w:val="008E4E52"/>
    <w:rsid w:val="00901460"/>
    <w:rsid w:val="0090257B"/>
    <w:rsid w:val="009264A6"/>
    <w:rsid w:val="00970883"/>
    <w:rsid w:val="00996CD1"/>
    <w:rsid w:val="009B6BA8"/>
    <w:rsid w:val="009C1D21"/>
    <w:rsid w:val="009E37BF"/>
    <w:rsid w:val="009E4DD1"/>
    <w:rsid w:val="009E6616"/>
    <w:rsid w:val="009F4130"/>
    <w:rsid w:val="009F7052"/>
    <w:rsid w:val="00A12002"/>
    <w:rsid w:val="00AC30D9"/>
    <w:rsid w:val="00B1472B"/>
    <w:rsid w:val="00B25DEA"/>
    <w:rsid w:val="00B30094"/>
    <w:rsid w:val="00B60166"/>
    <w:rsid w:val="00B92F46"/>
    <w:rsid w:val="00B938A0"/>
    <w:rsid w:val="00BA0182"/>
    <w:rsid w:val="00BA11D9"/>
    <w:rsid w:val="00BC35FC"/>
    <w:rsid w:val="00BD3240"/>
    <w:rsid w:val="00BD3499"/>
    <w:rsid w:val="00BD3655"/>
    <w:rsid w:val="00BE205E"/>
    <w:rsid w:val="00BF0B9A"/>
    <w:rsid w:val="00BF6ADB"/>
    <w:rsid w:val="00C01AC6"/>
    <w:rsid w:val="00C4321A"/>
    <w:rsid w:val="00C46FB4"/>
    <w:rsid w:val="00C502A1"/>
    <w:rsid w:val="00C96189"/>
    <w:rsid w:val="00CD287E"/>
    <w:rsid w:val="00CF1C47"/>
    <w:rsid w:val="00D10335"/>
    <w:rsid w:val="00D12140"/>
    <w:rsid w:val="00D2243D"/>
    <w:rsid w:val="00D274CD"/>
    <w:rsid w:val="00D52230"/>
    <w:rsid w:val="00D56C7A"/>
    <w:rsid w:val="00D64BB9"/>
    <w:rsid w:val="00D84194"/>
    <w:rsid w:val="00D86AD8"/>
    <w:rsid w:val="00D90B7C"/>
    <w:rsid w:val="00D95438"/>
    <w:rsid w:val="00DC6AA5"/>
    <w:rsid w:val="00DE6775"/>
    <w:rsid w:val="00E15C50"/>
    <w:rsid w:val="00E40882"/>
    <w:rsid w:val="00E441C4"/>
    <w:rsid w:val="00E83B40"/>
    <w:rsid w:val="00E905F5"/>
    <w:rsid w:val="00ED38A4"/>
    <w:rsid w:val="00ED4EF0"/>
    <w:rsid w:val="00F1576F"/>
    <w:rsid w:val="00F16FBC"/>
    <w:rsid w:val="00F31669"/>
    <w:rsid w:val="00F34A34"/>
    <w:rsid w:val="00F52830"/>
    <w:rsid w:val="00F63B61"/>
    <w:rsid w:val="00F66FFC"/>
    <w:rsid w:val="00F72A0E"/>
    <w:rsid w:val="00F91D12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1738B-581B-4D96-872C-8E592E14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OGO">
    <w:name w:val="GOGO"/>
    <w:basedOn w:val="Normal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ListParagraph">
    <w:name w:val="List Paragraph"/>
    <w:aliases w:val="List Paragraph1,List1,List Paragraph11,List Paragraph111,Colorful List - Accent 11,List Paragraph1111,ПАРАГРАФ"/>
    <w:basedOn w:val="Normal"/>
    <w:link w:val="ListParagraphChar"/>
    <w:uiPriority w:val="34"/>
    <w:qFormat/>
    <w:rsid w:val="009014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39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A0"/>
  </w:style>
  <w:style w:type="paragraph" w:styleId="Footer">
    <w:name w:val="footer"/>
    <w:basedOn w:val="Normal"/>
    <w:link w:val="Foot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A0"/>
  </w:style>
  <w:style w:type="character" w:styleId="CommentReference">
    <w:name w:val="annotation reference"/>
    <w:basedOn w:val="DefaultParagraphFont"/>
    <w:uiPriority w:val="99"/>
    <w:semiHidden/>
    <w:unhideWhenUsed/>
    <w:rsid w:val="00F34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4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3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5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5D6"/>
    <w:rPr>
      <w:vertAlign w:val="superscript"/>
    </w:rPr>
  </w:style>
  <w:style w:type="paragraph" w:styleId="Revision">
    <w:name w:val="Revision"/>
    <w:hidden/>
    <w:uiPriority w:val="99"/>
    <w:semiHidden/>
    <w:rsid w:val="00330143"/>
    <w:pPr>
      <w:spacing w:after="0" w:line="240" w:lineRule="auto"/>
    </w:pPr>
  </w:style>
  <w:style w:type="character" w:customStyle="1" w:styleId="ListParagraphChar">
    <w:name w:val="List Paragraph Char"/>
    <w:aliases w:val="List Paragraph1 Char,List1 Char,List Paragraph11 Char,List Paragraph111 Char,Colorful List - Accent 11 Char,List Paragraph1111 Char,ПАРАГРАФ Char"/>
    <w:link w:val="ListParagraph"/>
    <w:uiPriority w:val="34"/>
    <w:qFormat/>
    <w:locked/>
    <w:rsid w:val="00016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1B64E-769A-4043-A57E-34F0E9A2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793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user</cp:lastModifiedBy>
  <cp:revision>111</cp:revision>
  <cp:lastPrinted>2017-05-09T07:27:00Z</cp:lastPrinted>
  <dcterms:created xsi:type="dcterms:W3CDTF">2015-05-14T13:29:00Z</dcterms:created>
  <dcterms:modified xsi:type="dcterms:W3CDTF">2020-10-19T08:32:00Z</dcterms:modified>
</cp:coreProperties>
</file>